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到2022年，全球门窗市场预计将达到2820亿美元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！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根据联合市场调研(Allied Market Research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AMR)发布的报告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2016 - 2022年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</w:rPr>
        <w:t>全球门窗市场预计将达到2820亿美元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！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报告称，</w:t>
      </w:r>
      <w:r>
        <w:rPr>
          <w:rFonts w:hint="eastAsia" w:ascii="微软雅黑" w:hAnsi="微软雅黑" w:eastAsia="微软雅黑" w:cs="微软雅黑"/>
        </w:rPr>
        <w:t>全球门窗市场在2015年</w:t>
      </w:r>
      <w:r>
        <w:rPr>
          <w:rFonts w:hint="eastAsia" w:ascii="微软雅黑" w:hAnsi="微软雅黑" w:eastAsia="微软雅黑" w:cs="微软雅黑"/>
          <w:lang w:val="en-US" w:eastAsia="zh-CN"/>
        </w:rPr>
        <w:t>达到了</w:t>
      </w:r>
      <w:r>
        <w:rPr>
          <w:rFonts w:hint="eastAsia" w:ascii="微软雅黑" w:hAnsi="微软雅黑" w:eastAsia="微软雅黑" w:cs="微软雅黑"/>
        </w:rPr>
        <w:t>1840亿美元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</w:rPr>
        <w:t>预计到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b/>
          <w:bCs/>
        </w:rPr>
        <w:t>年将达到2820亿美元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实现</w:t>
      </w:r>
      <w:r>
        <w:rPr>
          <w:rFonts w:hint="eastAsia" w:ascii="微软雅黑" w:hAnsi="微软雅黑" w:eastAsia="微软雅黑" w:cs="微软雅黑"/>
        </w:rPr>
        <w:t>增长6.3%的复合年均增长率。</w:t>
      </w:r>
    </w:p>
    <w:p>
      <w:pPr>
        <w:jc w:val="center"/>
      </w:pPr>
      <w:r>
        <w:drawing>
          <wp:inline distT="0" distB="0" distL="114300" distR="114300">
            <wp:extent cx="2291080" cy="1507490"/>
            <wp:effectExtent l="0" t="0" r="1397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门窗</w:t>
      </w:r>
      <w:r>
        <w:rPr>
          <w:rFonts w:hint="eastAsia" w:ascii="微软雅黑" w:hAnsi="微软雅黑" w:eastAsia="微软雅黑" w:cs="微软雅黑"/>
        </w:rPr>
        <w:t>市场在未来几年内将会</w:t>
      </w:r>
      <w:r>
        <w:rPr>
          <w:rFonts w:hint="eastAsia" w:ascii="微软雅黑" w:hAnsi="微软雅黑" w:eastAsia="微软雅黑" w:cs="微软雅黑"/>
          <w:lang w:val="en-US" w:eastAsia="zh-CN"/>
        </w:rPr>
        <w:t>呈现</w:t>
      </w:r>
      <w:r>
        <w:rPr>
          <w:rFonts w:hint="eastAsia" w:ascii="微软雅黑" w:hAnsi="微软雅黑" w:eastAsia="微软雅黑" w:cs="微软雅黑"/>
        </w:rPr>
        <w:t>逐步发展</w:t>
      </w:r>
      <w:r>
        <w:rPr>
          <w:rFonts w:hint="eastAsia" w:ascii="微软雅黑" w:hAnsi="微软雅黑" w:eastAsia="微软雅黑" w:cs="微软雅黑"/>
          <w:lang w:val="en-US" w:eastAsia="zh-CN"/>
        </w:rPr>
        <w:t>的趋势，</w:t>
      </w:r>
      <w:r>
        <w:rPr>
          <w:rFonts w:hint="eastAsia" w:ascii="微软雅黑" w:hAnsi="微软雅黑" w:eastAsia="微软雅黑" w:cs="微软雅黑"/>
        </w:rPr>
        <w:t>非住宅领域</w:t>
      </w:r>
      <w:r>
        <w:rPr>
          <w:rFonts w:hint="eastAsia" w:ascii="微软雅黑" w:hAnsi="微软雅黑" w:eastAsia="微软雅黑" w:cs="微软雅黑"/>
          <w:lang w:val="en-US" w:eastAsia="zh-CN"/>
        </w:rPr>
        <w:t>建筑</w:t>
      </w:r>
      <w:r>
        <w:rPr>
          <w:rFonts w:hint="eastAsia" w:ascii="微软雅黑" w:hAnsi="微软雅黑" w:eastAsia="微软雅黑" w:cs="微软雅黑"/>
        </w:rPr>
        <w:t>预计将在全球范围内实现更高的增长率，并对</w:t>
      </w:r>
      <w:r>
        <w:rPr>
          <w:rFonts w:hint="eastAsia" w:ascii="微软雅黑" w:hAnsi="微软雅黑" w:eastAsia="微软雅黑" w:cs="微软雅黑"/>
          <w:lang w:val="en-US" w:eastAsia="zh-CN"/>
        </w:rPr>
        <w:t>门窗</w:t>
      </w:r>
      <w:r>
        <w:rPr>
          <w:rFonts w:hint="eastAsia" w:ascii="微软雅黑" w:hAnsi="微软雅黑" w:eastAsia="微软雅黑" w:cs="微软雅黑"/>
        </w:rPr>
        <w:t>市场的发展</w:t>
      </w:r>
      <w:r>
        <w:rPr>
          <w:rFonts w:hint="eastAsia" w:ascii="微软雅黑" w:hAnsi="微软雅黑" w:eastAsia="微软雅黑" w:cs="微软雅黑"/>
          <w:lang w:val="en-US" w:eastAsia="zh-CN"/>
        </w:rPr>
        <w:t>作出</w:t>
      </w:r>
      <w:r>
        <w:rPr>
          <w:rFonts w:hint="eastAsia" w:ascii="微软雅黑" w:hAnsi="微软雅黑" w:eastAsia="微软雅黑" w:cs="微软雅黑"/>
        </w:rPr>
        <w:t>重大贡献。</w:t>
      </w:r>
    </w:p>
    <w:p>
      <w:pPr>
        <w:jc w:val="center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2611120" cy="1641475"/>
            <wp:effectExtent l="0" t="0" r="17780" b="15875"/>
            <wp:docPr id="5" name="图片 5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im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lang w:eastAsia="zh-CN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市场参与者的进步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b/>
          <w:bCs/>
        </w:rPr>
        <w:t>住宅和非住宅建筑的增多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b/>
          <w:bCs/>
        </w:rPr>
        <w:t>家庭装修支出的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增加都明显</w:t>
      </w:r>
      <w:r>
        <w:rPr>
          <w:rFonts w:hint="eastAsia" w:ascii="微软雅黑" w:hAnsi="微软雅黑" w:eastAsia="微软雅黑" w:cs="微软雅黑"/>
          <w:b/>
          <w:bCs/>
        </w:rPr>
        <w:t>促进了市场的增长。</w:t>
      </w:r>
      <w:r>
        <w:rPr>
          <w:rFonts w:hint="eastAsia" w:ascii="微软雅黑" w:hAnsi="微软雅黑" w:eastAsia="微软雅黑" w:cs="微软雅黑"/>
        </w:rPr>
        <w:t>亚太和</w:t>
      </w:r>
      <w:r>
        <w:rPr>
          <w:rFonts w:hint="eastAsia" w:ascii="微软雅黑" w:hAnsi="微软雅黑" w:eastAsia="微软雅黑" w:cs="微软雅黑"/>
          <w:lang w:val="en-US" w:eastAsia="zh-CN"/>
        </w:rPr>
        <w:t>非洲</w:t>
      </w:r>
      <w:r>
        <w:rPr>
          <w:rFonts w:hint="eastAsia" w:ascii="微软雅黑" w:hAnsi="微软雅黑" w:eastAsia="微软雅黑" w:cs="微软雅黑"/>
        </w:rPr>
        <w:t>等地区的快速城市化和工业化</w:t>
      </w:r>
      <w:r>
        <w:rPr>
          <w:rFonts w:hint="eastAsia" w:ascii="微软雅黑" w:hAnsi="微软雅黑" w:eastAsia="微软雅黑" w:cs="微软雅黑"/>
          <w:lang w:val="en-US" w:eastAsia="zh-CN"/>
        </w:rPr>
        <w:t>也</w:t>
      </w:r>
      <w:r>
        <w:rPr>
          <w:rFonts w:hint="eastAsia" w:ascii="微软雅黑" w:hAnsi="微软雅黑" w:eastAsia="微软雅黑" w:cs="微软雅黑"/>
        </w:rPr>
        <w:t>将为市场提供有利可图的机会。</w:t>
      </w:r>
      <w:r>
        <w:rPr>
          <w:rFonts w:hint="eastAsia" w:ascii="微软雅黑" w:hAnsi="微软雅黑" w:eastAsia="微软雅黑" w:cs="微软雅黑"/>
          <w:b/>
          <w:bCs/>
        </w:rPr>
        <w:t>然而，环保产品的高价包装预计会阻碍市场的增长。</w:t>
      </w:r>
    </w:p>
    <w:p>
      <w:pPr>
        <w:jc w:val="center"/>
      </w:pPr>
      <w:r>
        <w:drawing>
          <wp:inline distT="0" distB="0" distL="114300" distR="114300">
            <wp:extent cx="2800350" cy="18281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28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环保风最近确实刮得很劲，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</w:rPr>
        <w:t>严查营业执照、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多行业限产</w:t>
      </w:r>
      <w:r>
        <w:rPr>
          <w:rFonts w:hint="eastAsia" w:ascii="微软雅黑" w:hAnsi="微软雅黑" w:eastAsia="微软雅黑" w:cs="微软雅黑"/>
          <w:b/>
          <w:bCs/>
        </w:rPr>
        <w:t>、原材料价格上涨，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种种市场动向，</w:t>
      </w:r>
    </w:p>
    <w:p>
      <w:pPr>
        <w:jc w:val="center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都意味着市场</w:t>
      </w:r>
      <w:r>
        <w:rPr>
          <w:rFonts w:hint="eastAsia" w:ascii="微软雅黑" w:hAnsi="微软雅黑" w:eastAsia="微软雅黑" w:cs="微软雅黑"/>
          <w:b/>
          <w:bCs/>
        </w:rPr>
        <w:t>竞争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将变得更加</w:t>
      </w:r>
      <w:r>
        <w:rPr>
          <w:rFonts w:hint="eastAsia" w:ascii="微软雅黑" w:hAnsi="微软雅黑" w:eastAsia="微软雅黑" w:cs="微软雅黑"/>
          <w:b/>
          <w:bCs/>
        </w:rPr>
        <w:t>激烈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！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前段时间</w:t>
      </w:r>
      <w:r>
        <w:rPr>
          <w:rFonts w:hint="eastAsia" w:ascii="微软雅黑" w:hAnsi="微软雅黑" w:eastAsia="微软雅黑" w:cs="微软雅黑"/>
        </w:rPr>
        <w:t>，环保部、发改委、工信部等多部委及北京、天津、河北等省市共同印发《京津冀及周边地区2017-2018年秋冬季大气污染综合治理攻坚行动方案》。方案提出，2017年10月至2018年3月，京津冀大气污染传输通道“2+26”城市PM2.5平均浓度同比下降15%以上，重污染天数同比下降15%以上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多行业全面限产停产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方案提出，在2017年采暖季11月15日前，京津冀及周边区域要提前完成化解过剩产能任务，“2+26”城市完成72台机组、398万千瓦的燃煤机组淘汰，淘汰的燃煤机组要实现电力解列或烟道物理割断。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同时，钢铁有色水泥行业全面限产停产，采暖季唐山等城市钢铁限产50%，电解铝和氧化铝企业限产30%以上，水泥建材全部停产。</w:t>
      </w:r>
    </w:p>
    <w:p>
      <w:pPr>
        <w:jc w:val="center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3251835" cy="2019935"/>
            <wp:effectExtent l="0" t="0" r="5715" b="1841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不能承受的原材料价格上涨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2016年下半年以来，塑料、铁矿石、煤炭、天然橡胶等多种建材市场原材料迎来“集体涨价”风潮，牵动着市场神经。2017年以来，上游原材料价格更是持续走高，让众多生产企业苦不堪言。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环保风暴不断升级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今年的环保督查，堪称史上规模最大、惩治力度最大。8月7日，中央第五环境保护督察组率先进驻四川省开展督察工作，拉开了第四批中央环境保护督察工作的序幕。据了解，8个督察组于8月7日至15日陆续实施督察进驻，对吉林、浙江、山东、海南、四川、西藏、青海、新疆（含兵团）开展督察工作，实现对全国各省（区、市）督察全覆盖。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经过新一轮的行业洗牌，产能落后、不注重节能环保的企业最终将被淘汰，最后只有那些注重绿色环保、材料创新的企业才能活下来，来瓜分这巨大的</w:t>
      </w:r>
      <w:r>
        <w:rPr>
          <w:rFonts w:hint="eastAsia" w:ascii="微软雅黑" w:hAnsi="微软雅黑" w:eastAsia="微软雅黑" w:cs="微软雅黑"/>
          <w:b/>
          <w:bCs/>
        </w:rPr>
        <w:t>2820亿美元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的门窗市场！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drawing>
          <wp:inline distT="0" distB="0" distL="114300" distR="114300">
            <wp:extent cx="2729865" cy="1820545"/>
            <wp:effectExtent l="0" t="0" r="13335" b="8255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想要现在就跟紧门窗幕墙行业新动态，第一时间了解节能创新产品，不如来2018年第24届全国铝门窗幕墙新产品博览会看看，届时将有20000件创新产品首发，最新的门窗幕墙新动态一网打尽，每一个不想被落后淘汰的门窗人都值得来逛逛。</w:t>
      </w: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现在，展会预登记通道已全面开启！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只要点击我要参观登记或者扫描下方二维码，就可以展开您的环保创新之旅！加入到最新的门窗市场成员中。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drawing>
          <wp:inline distT="0" distB="0" distL="114300" distR="114300">
            <wp:extent cx="1848485" cy="1848485"/>
            <wp:effectExtent l="0" t="0" r="18415" b="18415"/>
            <wp:docPr id="2" name="图片 2" descr="小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小尺寸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菱心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站酷快乐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33619"/>
    <w:rsid w:val="09DC416C"/>
    <w:rsid w:val="1E333619"/>
    <w:rsid w:val="4E8B49BA"/>
    <w:rsid w:val="55732782"/>
    <w:rsid w:val="5BFD173F"/>
    <w:rsid w:val="61303FDB"/>
    <w:rsid w:val="70E40F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28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2017-11-02T06:55:00Z</dcterms:created>
  <dc:creator>LENOVO</dc:creator>
  <cp:lastModifiedBy>LENOVO</cp:lastModifiedBy>
  <dcterms:modified xsi:type="dcterms:W3CDTF">2017-11-14T08:43:37Z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